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programme</w:t>
      </w:r>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The p</w:t>
      </w:r>
      <w:r w:rsidR="00AA704B" w:rsidRPr="002C6F4C">
        <w:rPr>
          <w:rStyle w:val="eop"/>
          <w:lang w:val="en-US"/>
        </w:rPr>
        <w:t>r</w:t>
      </w:r>
      <w:r w:rsidR="00800026" w:rsidRPr="002C6F4C">
        <w:rPr>
          <w:rStyle w:val="eop"/>
          <w:lang w:val="en-US"/>
        </w:rPr>
        <w:t>o</w:t>
      </w:r>
      <w:r w:rsidR="00AA704B" w:rsidRPr="002C6F4C">
        <w:rPr>
          <w:rStyle w:val="eop"/>
          <w:lang w:val="en-US"/>
        </w:rPr>
        <w:t>gramme “Sustainable Transition of Bosnia and Herzegovina</w:t>
      </w:r>
      <w:r w:rsidRPr="002C6F4C">
        <w:rPr>
          <w:rStyle w:val="eop"/>
          <w:lang w:val="en-US"/>
        </w:rPr>
        <w:t>”</w:t>
      </w:r>
      <w:r w:rsidR="00AA704B" w:rsidRPr="002C6F4C">
        <w:rPr>
          <w:rStyle w:val="eop"/>
          <w:lang w:val="en-US"/>
        </w:rPr>
        <w:t xml:space="preserve"> (BiH SuTra)</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39943C9D"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Programme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EU’s long-term sustainability goals and to f</w:t>
      </w:r>
      <w:r w:rsidR="0057556B">
        <w:rPr>
          <w:rStyle w:val="eop"/>
          <w:lang w:val="en-US"/>
        </w:rPr>
        <w:t>o</w:t>
      </w:r>
      <w:r w:rsidR="00AA704B" w:rsidRPr="002C6F4C">
        <w:rPr>
          <w:rStyle w:val="eop"/>
          <w:lang w:val="en-US"/>
        </w:rPr>
        <w:t xml:space="preserve">ster </w:t>
      </w:r>
      <w:r w:rsidR="0057556B">
        <w:rPr>
          <w:rStyle w:val="eop"/>
          <w:lang w:val="en-US"/>
        </w:rPr>
        <w:t xml:space="preserve">the </w:t>
      </w:r>
      <w:r w:rsidR="00AA704B" w:rsidRPr="002C6F4C">
        <w:rPr>
          <w:rStyle w:val="eop"/>
          <w:lang w:val="en-US"/>
        </w:rPr>
        <w:t xml:space="preserve">EU accession process. This will be achieved through creating and implementing effective local transition measures and policies and thus contributing to better living conditions for citizens in coal regions in BiH. </w:t>
      </w:r>
    </w:p>
    <w:p w14:paraId="4B0EB524" w14:textId="45672D76"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BiH SuTra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w:t>
      </w:r>
      <w:r w:rsidR="003D4AF6">
        <w:rPr>
          <w:rStyle w:val="eop"/>
          <w:rFonts w:ascii="Times New Roman" w:hAnsi="Times New Roman" w:cs="Times New Roman"/>
          <w:lang w:val="en-US"/>
        </w:rPr>
        <w:t>4</w:t>
      </w:r>
      <w:r w:rsidR="002C60E0" w:rsidRPr="00174099">
        <w:rPr>
          <w:rStyle w:val="eop"/>
          <w:rFonts w:ascii="Times New Roman" w:hAnsi="Times New Roman" w:cs="Times New Roman"/>
          <w:lang w:val="en-US"/>
        </w:rPr>
        <w:t xml:space="preserve">) </w:t>
      </w:r>
      <w:r w:rsidR="003D4AF6">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local-self-government units (LSGUs) in BiH: Municipality of Breza, Municipality of Banovići, Municipality of Ugljevik and City of Živinice</w:t>
      </w:r>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7DB13C5E"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taken into account. The areas will also be </w:t>
      </w:r>
      <w:r w:rsidR="002C4C79" w:rsidRPr="002C6F4C">
        <w:rPr>
          <w:rFonts w:ascii="Times New Roman" w:hAnsi="Times New Roman" w:cs="Times New Roman"/>
          <w:lang w:val="en-US"/>
        </w:rPr>
        <w:t>analyzed</w:t>
      </w:r>
      <w:r w:rsidR="00536E1E" w:rsidRPr="002C6F4C">
        <w:rPr>
          <w:rFonts w:ascii="Times New Roman" w:hAnsi="Times New Roman" w:cs="Times New Roman"/>
          <w:lang w:val="en-US"/>
        </w:rPr>
        <w:t xml:space="preserve"> through the social, financial, and governance implications of the transition, taking into account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31234"/>
    <w:rsid w:val="002658BB"/>
    <w:rsid w:val="00277A56"/>
    <w:rsid w:val="002A62AD"/>
    <w:rsid w:val="002C4C79"/>
    <w:rsid w:val="002C60E0"/>
    <w:rsid w:val="002C6F4C"/>
    <w:rsid w:val="002F0486"/>
    <w:rsid w:val="002F35AA"/>
    <w:rsid w:val="00380A5A"/>
    <w:rsid w:val="003D188B"/>
    <w:rsid w:val="003D4AF6"/>
    <w:rsid w:val="004C182C"/>
    <w:rsid w:val="004C1C3C"/>
    <w:rsid w:val="004E20A0"/>
    <w:rsid w:val="004E56E9"/>
    <w:rsid w:val="00512EB5"/>
    <w:rsid w:val="00536E1E"/>
    <w:rsid w:val="0054463E"/>
    <w:rsid w:val="005620DC"/>
    <w:rsid w:val="0057556B"/>
    <w:rsid w:val="00582DF8"/>
    <w:rsid w:val="00583E50"/>
    <w:rsid w:val="005C6A67"/>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352C2"/>
    <w:rsid w:val="00877853"/>
    <w:rsid w:val="008C52B8"/>
    <w:rsid w:val="008E0261"/>
    <w:rsid w:val="00940096"/>
    <w:rsid w:val="009A0DC8"/>
    <w:rsid w:val="00A26DE1"/>
    <w:rsid w:val="00A61432"/>
    <w:rsid w:val="00AA704B"/>
    <w:rsid w:val="00AF3154"/>
    <w:rsid w:val="00B233F0"/>
    <w:rsid w:val="00B56ECF"/>
    <w:rsid w:val="00B87136"/>
    <w:rsid w:val="00BA1F94"/>
    <w:rsid w:val="00BC52B8"/>
    <w:rsid w:val="00BF1BF4"/>
    <w:rsid w:val="00C7467A"/>
    <w:rsid w:val="00C92F0A"/>
    <w:rsid w:val="00CA5655"/>
    <w:rsid w:val="00CC4747"/>
    <w:rsid w:val="00D36DA2"/>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C90F4DCA-01E9-4156-88AF-A1754DA18F0E}"/>
</file>

<file path=customXml/itemProps3.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93</cp:revision>
  <dcterms:created xsi:type="dcterms:W3CDTF">2023-11-07T16:21:00Z</dcterms:created>
  <dcterms:modified xsi:type="dcterms:W3CDTF">2023-12-04T14:16:00Z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